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A00184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23472D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23472D" w:rsidP="0023472D">
      <w:pPr>
        <w:tabs>
          <w:tab w:val="left" w:pos="43"/>
          <w:tab w:val="left" w:pos="681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к техническому заданию</w:t>
      </w:r>
    </w:p>
    <w:p w:rsidR="00C0181E" w:rsidRPr="00F65C36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00184" w:rsidP="00A00184">
      <w:pPr>
        <w:tabs>
          <w:tab w:val="left" w:pos="3393"/>
        </w:tabs>
        <w:jc w:val="center"/>
        <w:rPr>
          <w:b/>
          <w:sz w:val="28"/>
          <w:szCs w:val="28"/>
        </w:rPr>
      </w:pPr>
      <w:r w:rsidRPr="00F65C36">
        <w:rPr>
          <w:rFonts w:eastAsia="Times New Roman"/>
          <w:b/>
          <w:sz w:val="28"/>
        </w:rPr>
        <w:t xml:space="preserve">Описание объекта закупки </w:t>
      </w:r>
    </w:p>
    <w:p w:rsidR="007D0334" w:rsidRPr="007D0334" w:rsidP="007D0334">
      <w:pPr>
        <w:jc w:val="center"/>
        <w:rPr>
          <w:rFonts w:eastAsia="Times New Roman"/>
          <w:sz w:val="28"/>
          <w:szCs w:val="20"/>
          <w:lang w:eastAsia="ru-RU"/>
        </w:rPr>
      </w:pPr>
      <w:r w:rsidRPr="001440EF">
        <w:rPr>
          <w:rFonts w:eastAsia="Times New Roman"/>
          <w:sz w:val="28"/>
          <w:szCs w:val="28"/>
          <w:lang w:eastAsia="ru-RU"/>
        </w:rPr>
        <w:t xml:space="preserve">Предмет закупки: </w:t>
      </w:r>
      <w:r w:rsidRPr="00543EF5" w:rsidR="007447E0">
        <w:rPr>
          <w:rFonts w:eastAsia="Times New Roman"/>
          <w:sz w:val="28"/>
          <w:szCs w:val="28"/>
          <w:lang w:eastAsia="ru-RU"/>
        </w:rPr>
        <w:t>Поставка медицинских</w:t>
      </w:r>
      <w:r w:rsidRPr="00543EF5" w:rsidR="007447E0">
        <w:rPr>
          <w:rFonts w:eastAsia="Times New Roman"/>
          <w:sz w:val="28"/>
          <w:szCs w:val="28"/>
          <w:lang w:eastAsia="ru-RU"/>
        </w:rPr>
        <w:t xml:space="preserve"> расходных материалов (кюветы) для нужд государственного бюджетного учреждения здравоохранения Самарской области «Сызранская центральная городская и районная больница»</w:t>
      </w:r>
    </w:p>
    <w:p w:rsidR="00F33802" w:rsidRPr="00594E67" w:rsidP="00450CF7"/>
    <w:tbl>
      <w:tblPr>
        <w:tblStyle w:val="TableGrid"/>
        <w:tblW w:w="16160" w:type="dxa"/>
        <w:tblInd w:w="-176" w:type="dxa"/>
        <w:tblLayout w:type="fixed"/>
        <w:tblLook w:val="04A0"/>
      </w:tblPr>
      <w:tblGrid>
        <w:gridCol w:w="1135"/>
        <w:gridCol w:w="3357"/>
        <w:gridCol w:w="2738"/>
        <w:gridCol w:w="3260"/>
        <w:gridCol w:w="1531"/>
        <w:gridCol w:w="1559"/>
        <w:gridCol w:w="1021"/>
        <w:gridCol w:w="1559"/>
      </w:tblGrid>
      <w:tr w:rsidTr="00D57C47">
        <w:tblPrEx>
          <w:tblW w:w="16160" w:type="dxa"/>
          <w:tblInd w:w="-176" w:type="dxa"/>
          <w:tblLayout w:type="fixed"/>
          <w:tblLook w:val="04A0"/>
        </w:tblPrEx>
        <w:trPr>
          <w:trHeight w:val="158"/>
        </w:trPr>
        <w:tc>
          <w:tcPr>
            <w:tcW w:w="1135" w:type="dxa"/>
            <w:vMerge w:val="restart"/>
            <w:vAlign w:val="center"/>
          </w:tcPr>
          <w:p w:rsidR="000B12F1" w:rsidRPr="005842D8" w:rsidP="00D57C47">
            <w:r w:rsidRPr="005842D8">
              <w:t>№ п/п</w:t>
            </w:r>
          </w:p>
        </w:tc>
        <w:tc>
          <w:tcPr>
            <w:tcW w:w="3357" w:type="dxa"/>
            <w:vMerge w:val="restart"/>
            <w:vAlign w:val="center"/>
          </w:tcPr>
          <w:p w:rsidR="000B12F1" w:rsidRPr="00CC2231" w:rsidP="00D57C47">
            <w:r w:rsidRPr="005842D8">
              <w:t>Наименование</w:t>
            </w:r>
          </w:p>
        </w:tc>
        <w:tc>
          <w:tcPr>
            <w:tcW w:w="7529" w:type="dxa"/>
            <w:gridSpan w:val="3"/>
            <w:tcBorders>
              <w:bottom w:val="single" w:sz="4" w:space="0" w:color="auto"/>
            </w:tcBorders>
            <w:vAlign w:val="center"/>
          </w:tcPr>
          <w:p w:rsidR="000B12F1" w:rsidRPr="005842D8" w:rsidP="00D57C47">
            <w:pPr>
              <w:jc w:val="center"/>
            </w:pPr>
            <w:r w:rsidRPr="005842D8">
              <w:t>Характеристика товара</w:t>
            </w:r>
          </w:p>
        </w:tc>
        <w:tc>
          <w:tcPr>
            <w:tcW w:w="1559" w:type="dxa"/>
            <w:vMerge w:val="restart"/>
            <w:vAlign w:val="center"/>
          </w:tcPr>
          <w:p w:rsidR="000B12F1" w:rsidRPr="005842D8" w:rsidP="00D57C47">
            <w:pPr>
              <w:jc w:val="center"/>
            </w:pPr>
            <w:r>
              <w:t>Товарный знак</w:t>
            </w:r>
          </w:p>
        </w:tc>
        <w:tc>
          <w:tcPr>
            <w:tcW w:w="1021" w:type="dxa"/>
            <w:vMerge w:val="restart"/>
            <w:vAlign w:val="center"/>
          </w:tcPr>
          <w:p w:rsidR="000B12F1" w:rsidRPr="005842D8" w:rsidP="00D57C47">
            <w:pPr>
              <w:jc w:val="center"/>
            </w:pPr>
            <w:r w:rsidRPr="005842D8">
              <w:t>Ед.изм.</w:t>
            </w:r>
          </w:p>
        </w:tc>
        <w:tc>
          <w:tcPr>
            <w:tcW w:w="1559" w:type="dxa"/>
            <w:vMerge w:val="restart"/>
            <w:vAlign w:val="center"/>
          </w:tcPr>
          <w:p w:rsidR="000B12F1" w:rsidRPr="005842D8" w:rsidP="00D57C47">
            <w:pPr>
              <w:jc w:val="center"/>
            </w:pPr>
            <w:r w:rsidRPr="005842D8">
              <w:t>Кол-во</w:t>
            </w:r>
          </w:p>
        </w:tc>
      </w:tr>
      <w:tr w:rsidTr="00D57C47">
        <w:tblPrEx>
          <w:tblW w:w="16160" w:type="dxa"/>
          <w:tblInd w:w="-176" w:type="dxa"/>
          <w:tblLayout w:type="fixed"/>
          <w:tblLook w:val="04A0"/>
        </w:tblPrEx>
        <w:trPr>
          <w:trHeight w:val="157"/>
        </w:trPr>
        <w:tc>
          <w:tcPr>
            <w:tcW w:w="1135" w:type="dxa"/>
            <w:vMerge/>
            <w:vAlign w:val="center"/>
          </w:tcPr>
          <w:p w:rsidR="000B12F1" w:rsidRPr="005842D8" w:rsidP="00D57C47"/>
        </w:tc>
        <w:tc>
          <w:tcPr>
            <w:tcW w:w="3357" w:type="dxa"/>
            <w:vMerge/>
            <w:vAlign w:val="center"/>
          </w:tcPr>
          <w:p w:rsidR="000B12F1" w:rsidRPr="005842D8" w:rsidP="00D57C47"/>
        </w:tc>
        <w:tc>
          <w:tcPr>
            <w:tcW w:w="2738" w:type="dxa"/>
            <w:tcBorders>
              <w:bottom w:val="single" w:sz="4" w:space="0" w:color="auto"/>
            </w:tcBorders>
            <w:vAlign w:val="center"/>
          </w:tcPr>
          <w:p w:rsidR="000B12F1" w:rsidRPr="005842D8" w:rsidP="00D57C47">
            <w:pPr>
              <w:jc w:val="center"/>
            </w:pPr>
            <w:r w:rsidRPr="005842D8">
              <w:t>Наименование показателей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0B12F1" w:rsidRPr="00CC2231" w:rsidP="00D57C47">
            <w:pPr>
              <w:jc w:val="center"/>
            </w:pPr>
            <w:r w:rsidRPr="005842D8">
              <w:t>Значение показателей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0B12F1" w:rsidRPr="00CC2231" w:rsidP="00D57C47">
            <w:pPr>
              <w:jc w:val="center"/>
            </w:pPr>
            <w:r>
              <w:t>Инструкция к заполнению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B12F1" w:rsidRPr="005842D8" w:rsidP="00D57C47"/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0B12F1" w:rsidRPr="005842D8" w:rsidP="00D57C47"/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B12F1" w:rsidRPr="005842D8" w:rsidP="00D57C47"/>
        </w:tc>
      </w:tr>
      <w:tr w:rsidTr="00D57C47">
        <w:tblPrEx>
          <w:tblW w:w="16160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1135" w:type="dxa"/>
          </w:tcPr>
          <w:p w:rsidR="000B12F1" w:rsidRPr="00CC2231" w:rsidP="00D57C47">
            <w:r w:rsidRPr="005842D8">
              <w:rPr>
                <w:noProof/>
              </w:rPr>
              <w:t>1</w:t>
            </w:r>
          </w:p>
        </w:tc>
        <w:tc>
          <w:tcPr>
            <w:tcW w:w="3357" w:type="dxa"/>
          </w:tcPr>
          <w:p w:rsidR="000B12F1" w:rsidRPr="005842D8" w:rsidP="00D57C47">
            <w:r w:rsidRPr="005842D8">
              <w:rPr>
                <w:noProof/>
              </w:rPr>
              <w:t>Кювета для</w:t>
            </w:r>
            <w:r w:rsidRPr="005842D8">
              <w:rPr>
                <w:noProof/>
              </w:rPr>
              <w:t xml:space="preserve"> лабораторного анализатора ИВД, одноразового использования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731"/>
              <w:gridCol w:w="3248"/>
              <w:gridCol w:w="1572"/>
            </w:tblGrid>
            <w:tr w:rsidTr="00D57C47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Назначение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для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проведения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иммунохимической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реакции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Материал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пластик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Номинальный</w:t>
                  </w:r>
                  <w:r w:rsidRPr="00CC448F">
                    <w:rPr>
                      <w:noProof/>
                      <w:lang w:val="en-US"/>
                    </w:rPr>
                    <w:t xml:space="preserve"> </w:t>
                  </w:r>
                  <w:r w:rsidRPr="00CC448F">
                    <w:rPr>
                      <w:noProof/>
                    </w:rPr>
                    <w:t>объем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1.25000000000</w:t>
                  </w:r>
                  <w:r w:rsidRPr="00CC448F">
                    <w:t xml:space="preserve"> </w:t>
                  </w:r>
                  <w:r w:rsidRPr="00CC448F">
                    <w:t>СМ3</w:t>
                  </w:r>
                  <w:r w:rsidRPr="00CC448F">
                    <w:rPr>
                      <w:lang w:val="en-US"/>
                    </w:rPr>
                    <w:t>;</w:t>
                  </w:r>
                  <w:r w:rsidRPr="00CC448F">
                    <w:t>^</w:t>
                  </w:r>
                  <w:r w:rsidRPr="00CC448F">
                    <w:rPr>
                      <w:lang w:val="en-US"/>
                    </w:rPr>
                    <w:t>МЛ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Фасовка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в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одной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упаковке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не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менее</w:t>
                  </w:r>
                  <w:r w:rsidRPr="00CC448F">
                    <w:rPr>
                      <w:lang w:val="en-US"/>
                    </w:rPr>
                    <w:t xml:space="preserve"> 3024 шт.: (не менее 24 штатива по 126 шт./штатив)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Совместимость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анализатор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автоматический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иммунохемилюминесцентный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для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диагностики</w:t>
                  </w:r>
                  <w:r w:rsidRPr="00CC448F">
                    <w:rPr>
                      <w:lang w:val="en-US"/>
                    </w:rPr>
                    <w:t xml:space="preserve"> in vitro серии CL, вариант исполнения CL-2000i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0B12F1" w:rsidRPr="00CC2231" w:rsidP="00D57C4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CC2231" w:rsidP="00D57C47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774E02" w:rsidP="00D57C47">
            <w:pPr>
              <w:rPr>
                <w:noProof/>
              </w:rPr>
            </w:pPr>
            <w:r w:rsidRPr="005842D8">
              <w:rPr>
                <w:noProof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CC2231" w:rsidP="00D57C47">
            <w:r w:rsidRPr="00774E02">
              <w:rPr>
                <w:noProof/>
              </w:rPr>
              <w:t>6.00</w:t>
            </w:r>
            <w:r w:rsidRPr="00774E02">
              <w:rPr>
                <w:noProof/>
              </w:rPr>
              <w:t xml:space="preserve"> </w:t>
            </w:r>
          </w:p>
        </w:tc>
      </w:tr>
      <w:tr w:rsidTr="00D57C47">
        <w:tblPrEx>
          <w:tblW w:w="16160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1135" w:type="dxa"/>
          </w:tcPr>
          <w:p w:rsidR="000B12F1" w:rsidRPr="00CC2231" w:rsidP="00D57C47">
            <w:r w:rsidRPr="005842D8">
              <w:rPr>
                <w:noProof/>
              </w:rPr>
              <w:t>2</w:t>
            </w:r>
          </w:p>
        </w:tc>
        <w:tc>
          <w:tcPr>
            <w:tcW w:w="3357" w:type="dxa"/>
          </w:tcPr>
          <w:p w:rsidR="000B12F1" w:rsidRPr="005842D8" w:rsidP="00D57C47">
            <w:r w:rsidRPr="005842D8">
              <w:rPr>
                <w:noProof/>
              </w:rPr>
              <w:t>Кюветы реакционные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731"/>
              <w:gridCol w:w="3248"/>
              <w:gridCol w:w="1572"/>
            </w:tblGrid>
            <w:tr w:rsidTr="00D57C47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Многоразовые</w:t>
                  </w:r>
                  <w:r w:rsidRPr="00CC448F">
                    <w:rPr>
                      <w:noProof/>
                      <w:lang w:val="en-US"/>
                    </w:rPr>
                    <w:t xml:space="preserve"> </w:t>
                  </w:r>
                  <w:r w:rsidRPr="00CC448F">
                    <w:rPr>
                      <w:noProof/>
                    </w:rPr>
                    <w:t>реакционные</w:t>
                  </w:r>
                  <w:r w:rsidRPr="00CC448F">
                    <w:rPr>
                      <w:noProof/>
                      <w:lang w:val="en-US"/>
                    </w:rPr>
                    <w:t xml:space="preserve"> кюветы</w:t>
                  </w:r>
                </w:p>
                <w:p w:rsidR="000B12F1" w:rsidRPr="00CC448F" w:rsidP="00D57C47"/>
              </w:tc>
              <w:tc>
                <w:tcPr>
                  <w:tcW w:w="3248" w:type="dxa"/>
                </w:tcPr>
                <w:p w:rsidRPr="00CC448F" w:rsidP="00D57C47">
                  <w:pPr>
                    <w:rPr>
                      <w:lang w:val="en-US"/>
                    </w:rPr>
                  </w:pPr>
                  <w:r w:rsidRPr="00CC448F">
                    <w:t>наличие</w:t>
                  </w:r>
                </w:p>
                <w:p w:rsidRPr="00CC448F" w:rsidP="00D57C47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Назначение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Предназначены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для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проведения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биохимической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реакции</w:t>
                  </w:r>
                  <w:r w:rsidRPr="00CC448F">
                    <w:rPr>
                      <w:lang w:val="en-US"/>
                    </w:rPr>
                    <w:t xml:space="preserve"> на анализаторе Mindray BS-380/400/480 установленном у заказчика</w:t>
                  </w:r>
                </w:p>
                <w:p w:rsidRPr="00CC448F" w:rsidP="00D57C47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Размеры</w:t>
                  </w:r>
                  <w:r w:rsidRPr="00CC448F">
                    <w:rPr>
                      <w:noProof/>
                      <w:lang w:val="en-US"/>
                    </w:rPr>
                    <w:t>,</w:t>
                  </w:r>
                  <w:r w:rsidRPr="00CC448F">
                    <w:rPr>
                      <w:noProof/>
                    </w:rPr>
                    <w:t xml:space="preserve"> </w:t>
                  </w:r>
                  <w:r w:rsidRPr="00CC448F">
                    <w:rPr>
                      <w:noProof/>
                      <w:lang w:val="en-US"/>
                    </w:rPr>
                    <w:t>мм</w:t>
                  </w:r>
                </w:p>
              </w:tc>
              <w:tc>
                <w:tcPr>
                  <w:tcW w:w="3248" w:type="dxa"/>
                </w:tcPr>
                <w:p w:rsidRPr="00CC448F" w:rsidP="00D57C47">
                  <w:pPr>
                    <w:rPr>
                      <w:lang w:val="en-US"/>
                    </w:rPr>
                  </w:pPr>
                  <w:r w:rsidRPr="00CC448F">
                    <w:t>5х5х29</w:t>
                  </w:r>
                </w:p>
                <w:p w:rsidRPr="00CC448F" w:rsidP="00D57C47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Оптический</w:t>
                  </w:r>
                  <w:r w:rsidRPr="00CC448F">
                    <w:rPr>
                      <w:noProof/>
                      <w:lang w:val="en-US"/>
                    </w:rPr>
                    <w:t xml:space="preserve"> </w:t>
                  </w:r>
                  <w:r w:rsidRPr="00CC448F">
                    <w:rPr>
                      <w:noProof/>
                    </w:rPr>
                    <w:t>путь</w:t>
                  </w:r>
                  <w:r w:rsidRPr="00CC448F">
                    <w:rPr>
                      <w:noProof/>
                      <w:lang w:val="en-US"/>
                    </w:rPr>
                    <w:t>, мм</w:t>
                  </w:r>
                </w:p>
                <w:p w:rsidR="000B12F1" w:rsidRPr="00CC448F" w:rsidP="00D57C47"/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5.00000000000</w:t>
                  </w:r>
                  <w:r w:rsidRPr="00CC448F">
                    <w:t xml:space="preserve"> 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Материал</w:t>
                  </w:r>
                </w:p>
              </w:tc>
              <w:tc>
                <w:tcPr>
                  <w:tcW w:w="3248" w:type="dxa"/>
                </w:tcPr>
                <w:p w:rsidRPr="00CC448F" w:rsidP="00D57C47">
                  <w:pPr>
                    <w:rPr>
                      <w:lang w:val="en-US"/>
                    </w:rPr>
                  </w:pPr>
                  <w:r w:rsidRPr="00CC448F">
                    <w:t>Пластик</w:t>
                  </w:r>
                </w:p>
                <w:p w:rsidRPr="00CC448F" w:rsidP="00D57C47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0B12F1" w:rsidRPr="00CC2231" w:rsidP="00D57C4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CC2231" w:rsidP="00D57C47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774E02" w:rsidP="00D57C47">
            <w:pPr>
              <w:rPr>
                <w:noProof/>
              </w:rPr>
            </w:pPr>
            <w:r w:rsidRPr="005842D8">
              <w:rPr>
                <w:noProof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CC2231" w:rsidP="00D57C47">
            <w:r w:rsidRPr="00774E02">
              <w:rPr>
                <w:noProof/>
              </w:rPr>
              <w:t>2.00</w:t>
            </w:r>
            <w:r w:rsidRPr="00774E02">
              <w:rPr>
                <w:noProof/>
              </w:rPr>
              <w:t xml:space="preserve"> </w:t>
            </w:r>
          </w:p>
        </w:tc>
      </w:tr>
      <w:tr w:rsidTr="00D57C47">
        <w:tblPrEx>
          <w:tblW w:w="16160" w:type="dxa"/>
          <w:tblInd w:w="-176" w:type="dxa"/>
          <w:tblLayout w:type="fixed"/>
          <w:tblLook w:val="04A0"/>
        </w:tblPrEx>
        <w:trPr>
          <w:trHeight w:val="77"/>
        </w:trPr>
        <w:tc>
          <w:tcPr>
            <w:tcW w:w="1135" w:type="dxa"/>
          </w:tcPr>
          <w:p w:rsidR="000B12F1" w:rsidRPr="00CC2231" w:rsidP="00D57C47">
            <w:r w:rsidRPr="005842D8">
              <w:rPr>
                <w:noProof/>
              </w:rPr>
              <w:t>3</w:t>
            </w:r>
          </w:p>
        </w:tc>
        <w:tc>
          <w:tcPr>
            <w:tcW w:w="3357" w:type="dxa"/>
          </w:tcPr>
          <w:p w:rsidR="000B12F1" w:rsidRPr="005842D8" w:rsidP="00D57C47">
            <w:r w:rsidRPr="005842D8">
              <w:rPr>
                <w:noProof/>
              </w:rPr>
              <w:t>Кювета для</w:t>
            </w:r>
            <w:r w:rsidRPr="005842D8">
              <w:rPr>
                <w:noProof/>
              </w:rPr>
              <w:t xml:space="preserve"> лабораторного анализатора ИВД, одноразового использования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55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2731"/>
              <w:gridCol w:w="3248"/>
              <w:gridCol w:w="1572"/>
            </w:tblGrid>
            <w:tr w:rsidTr="00D57C47">
              <w:tblPrEx>
                <w:tblW w:w="7551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Предназначение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для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помещения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биологических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образцов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(</w:t>
                  </w:r>
                  <w:r w:rsidRPr="00CC448F">
                    <w:rPr>
                      <w:lang w:val="en-US"/>
                    </w:rPr>
                    <w:t>плазмы крови) человека, приготовления реакционной смеси и проведения анализа.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Совместимость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Автоматический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анализатор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коагуляции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СХ-6010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Фасовка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3000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шт</w:t>
                  </w:r>
                  <w:r w:rsidRPr="00CC448F">
                    <w:rPr>
                      <w:lang w:val="en-US"/>
                    </w:rPr>
                    <w:t>.</w:t>
                  </w:r>
                  <w:r w:rsidRPr="00CC448F">
                    <w:t xml:space="preserve"> </w:t>
                  </w:r>
                  <w:r w:rsidRPr="00CC448F">
                    <w:rPr>
                      <w:lang w:val="en-US"/>
                    </w:rPr>
                    <w:t>(</w:t>
                  </w:r>
                  <w:r w:rsidRPr="00CC448F">
                    <w:t>6</w:t>
                  </w:r>
                  <w:r w:rsidRPr="00CC448F">
                    <w:rPr>
                      <w:lang w:val="en-US"/>
                    </w:rPr>
                    <w:t xml:space="preserve"> </w:t>
                  </w:r>
                  <w:r w:rsidRPr="00CC448F">
                    <w:t>пакетов</w:t>
                  </w:r>
                  <w:r w:rsidRPr="00CC448F">
                    <w:rPr>
                      <w:lang w:val="en-US"/>
                    </w:rPr>
                    <w:t xml:space="preserve"> по 500 шт.)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  <w:tr w:rsidTr="00D57C47">
              <w:tblPrEx>
                <w:tblW w:w="7551" w:type="dxa"/>
                <w:tblLayout w:type="fixed"/>
                <w:tblLook w:val="04A0"/>
              </w:tblPrEx>
              <w:trPr>
                <w:trHeight w:val="263"/>
              </w:trPr>
              <w:tc>
                <w:tcPr>
                  <w:tcW w:w="2731" w:type="dxa"/>
                </w:tcPr>
                <w:p w:rsidR="000B12F1" w:rsidRPr="00CC448F" w:rsidP="00D57C47">
                  <w:r w:rsidRPr="00CC448F">
                    <w:rPr>
                      <w:noProof/>
                    </w:rPr>
                    <w:t>Материал</w:t>
                  </w:r>
                </w:p>
              </w:tc>
              <w:tc>
                <w:tcPr>
                  <w:tcW w:w="3248" w:type="dxa"/>
                </w:tcPr>
                <w:p w:rsidR="000B12F1" w:rsidRPr="00CC2231" w:rsidP="00D57C47">
                  <w:r w:rsidRPr="00CC448F">
                    <w:t>Полистирол</w:t>
                  </w:r>
                </w:p>
              </w:tc>
              <w:tc>
                <w:tcPr>
                  <w:tcW w:w="1572" w:type="dxa"/>
                  <w:tcBorders>
                    <w:bottom w:val="nil"/>
                  </w:tcBorders>
                </w:tcPr>
                <w:p w:rsidR="000B12F1" w:rsidRPr="001D5955" w:rsidP="00D57C47">
                  <w:pPr>
                    <w:ind w:left="-98"/>
                    <w:rPr>
                      <w:noProof/>
                    </w:rPr>
                  </w:pPr>
                  <w:r w:rsidRPr="005842D8">
                    <w:rPr>
                      <w:noProof/>
                    </w:rPr>
                    <w:t>Значение характеристики</w:t>
                  </w:r>
                  <w:r w:rsidRPr="005842D8">
                    <w:rPr>
                      <w:noProof/>
                    </w:rPr>
                    <w:t xml:space="preserve"> не может изменяться участником закупки</w:t>
                  </w:r>
                </w:p>
              </w:tc>
            </w:tr>
          </w:tbl>
          <w:p w:rsidR="000B12F1" w:rsidRPr="00CC2231" w:rsidP="00D57C4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CC2231" w:rsidP="00D57C47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774E02" w:rsidP="00D57C47">
            <w:pPr>
              <w:rPr>
                <w:noProof/>
              </w:rPr>
            </w:pPr>
            <w:r w:rsidRPr="005842D8">
              <w:rPr>
                <w:noProof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F1" w:rsidRPr="00CC2231" w:rsidP="00D57C47">
            <w:r w:rsidRPr="00774E02">
              <w:rPr>
                <w:noProof/>
              </w:rPr>
              <w:t>10.00</w:t>
            </w:r>
            <w:r w:rsidRPr="00774E02">
              <w:rPr>
                <w:noProof/>
              </w:rPr>
              <w:t xml:space="preserve"> </w:t>
            </w:r>
          </w:p>
        </w:tc>
      </w:tr>
    </w:tbl>
    <w:p w:rsidR="001834AB" w:rsidRPr="00FA2CB9" w:rsidP="001834AB">
      <w:pPr>
        <w:ind w:right="111"/>
        <w:jc w:val="both"/>
      </w:pPr>
      <w:r w:rsidRPr="00FA2CB9">
        <w:t xml:space="preserve"> </w:t>
      </w:r>
    </w:p>
    <w:p w:rsidR="001078C6" w:rsidRPr="00FA2CB9" w:rsidP="00690A26">
      <w:pPr>
        <w:rPr>
          <w:noProof/>
          <w:sz w:val="20"/>
        </w:rPr>
      </w:pPr>
    </w:p>
    <w:p w:rsidR="00BB7EED" w:rsidRPr="00FA2CB9" w:rsidP="00BB7EED">
      <w:pPr>
        <w:ind w:firstLine="708"/>
        <w:jc w:val="both"/>
        <w:rPr>
          <w:b/>
          <w:iCs/>
          <w:color w:val="000000"/>
          <w:sz w:val="28"/>
          <w:szCs w:val="28"/>
        </w:rPr>
      </w:pPr>
      <w:r w:rsidRPr="00FA2CB9">
        <w:rPr>
          <w:sz w:val="28"/>
          <w:szCs w:val="28"/>
        </w:rPr>
        <w:t>Участник подаёт предложение об объекте закупки посредством применения веб-интерфейса электронной торговой площадки (далее – ЭТП).</w:t>
      </w:r>
    </w:p>
    <w:p w:rsidR="00BB7EED" w:rsidRPr="00FA2CB9" w:rsidP="00BB7EED">
      <w:pPr>
        <w:ind w:firstLine="708"/>
        <w:jc w:val="both"/>
        <w:rPr>
          <w:sz w:val="28"/>
          <w:szCs w:val="28"/>
        </w:rPr>
      </w:pPr>
      <w:r w:rsidRPr="00FA2CB9">
        <w:rPr>
          <w:sz w:val="28"/>
          <w:szCs w:val="28"/>
        </w:rPr>
        <w:t>При этом участник вправе приложить электронный документ с описанием объекта закупки.</w:t>
      </w:r>
    </w:p>
    <w:p w:rsidR="00BB7EED" w:rsidRPr="00F3397C" w:rsidP="00BB7EED">
      <w:pPr>
        <w:ind w:firstLine="708"/>
        <w:jc w:val="both"/>
        <w:rPr>
          <w:sz w:val="28"/>
          <w:szCs w:val="28"/>
        </w:rPr>
      </w:pPr>
      <w:r w:rsidRPr="00FA2CB9">
        <w:rPr>
          <w:sz w:val="28"/>
          <w:szCs w:val="28"/>
        </w:rPr>
        <w:t xml:space="preserve">Внимание! В случае наличия в заявке участника противоречий между сформированным с помощью веб-интерфейса ЭТП предложении участника об объекте закупки, приложенным электронным документом и </w:t>
      </w:r>
      <w:r w:rsidRPr="00FA2CB9">
        <w:rPr>
          <w:sz w:val="28"/>
          <w:szCs w:val="28"/>
        </w:rPr>
        <w:t>извещением,  такая</w:t>
      </w:r>
      <w:r w:rsidRPr="00FA2CB9">
        <w:rPr>
          <w:sz w:val="28"/>
          <w:szCs w:val="28"/>
        </w:rPr>
        <w:t xml:space="preserve"> заявка будет подлежать отклонению.</w:t>
      </w:r>
    </w:p>
    <w:p w:rsidR="00BB7EED" w:rsidRPr="00CD3B4B" w:rsidP="00BB7EED">
      <w:pPr>
        <w:pStyle w:val="NoSpacing"/>
        <w:jc w:val="both"/>
        <w:rPr>
          <w:b/>
          <w:sz w:val="28"/>
          <w:szCs w:val="28"/>
        </w:rPr>
      </w:pPr>
    </w:p>
    <w:p w:rsidR="006F018C" w:rsidRPr="002E4837" w:rsidP="006F018C">
      <w:pPr>
        <w:rPr>
          <w:rFonts w:eastAsia="Times New Roman"/>
          <w:szCs w:val="24"/>
          <w:lang w:eastAsia="ru-RU"/>
        </w:rPr>
      </w:pPr>
    </w:p>
    <w:p w:rsidR="006F018C" w:rsidRPr="006F018C" w:rsidP="00690A26">
      <w:pPr>
        <w:rPr>
          <w:sz w:val="20"/>
        </w:rPr>
      </w:pPr>
    </w:p>
    <w:p w:rsidR="00EB040A" w:rsidRPr="00CD3B4B" w:rsidP="00CA03EE">
      <w:pPr>
        <w:pStyle w:val="NoSpacing"/>
        <w:jc w:val="both"/>
        <w:rPr>
          <w:b/>
          <w:sz w:val="28"/>
          <w:szCs w:val="28"/>
        </w:rPr>
      </w:pPr>
    </w:p>
    <w:sectPr w:rsidSect="00690A26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Calibri" w:ascii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754"/>
    <w:pPr>
      <w:spacing w:after="0" w:line="240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1"/>
    <w:uiPriority w:val="9"/>
    <w:qFormat/>
    <w:rsid w:val="007F7E0C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7F7E0C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7F7E0C"/>
    <w:rPr>
      <w:rFonts w:ascii="Times New Roman" w:hAnsi="Times New Roman" w:eastAsiaTheme="majorEastAsia" w:cstheme="majorBidi"/>
      <w:b/>
      <w:bCs/>
      <w:sz w:val="32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7F7E0C"/>
    <w:rPr>
      <w:rFonts w:ascii="Times New Roman" w:hAnsi="Times New Roman" w:eastAsiaTheme="majorEastAsia" w:cstheme="majorBidi"/>
      <w:b/>
      <w:bCs/>
      <w:sz w:val="24"/>
      <w:szCs w:val="26"/>
    </w:rPr>
  </w:style>
  <w:style w:type="table" w:styleId="TableGrid">
    <w:name w:val="Table Grid"/>
    <w:basedOn w:val="TableNormal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semiHidden/>
    <w:unhideWhenUsed/>
    <w:rsid w:val="00A00184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a0"/>
    <w:uiPriority w:val="99"/>
    <w:semiHidden/>
    <w:unhideWhenUsed/>
    <w:rsid w:val="00A00184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NoSpacing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03D2"/>
    <w:rPr>
      <w:sz w:val="16"/>
      <w:szCs w:val="16"/>
    </w:rPr>
  </w:style>
  <w:style w:type="paragraph" w:styleId="CommentText">
    <w:name w:val="annotation text"/>
    <w:basedOn w:val="Normal"/>
    <w:link w:val="a1"/>
    <w:uiPriority w:val="99"/>
    <w:semiHidden/>
    <w:unhideWhenUsed/>
    <w:rsid w:val="00AE03D2"/>
    <w:rPr>
      <w:sz w:val="20"/>
      <w:szCs w:val="20"/>
    </w:rPr>
  </w:style>
  <w:style w:type="character" w:customStyle="1" w:styleId="a1">
    <w:name w:val="Текст примечания Знак"/>
    <w:basedOn w:val="DefaultParagraphFont"/>
    <w:link w:val="CommentText"/>
    <w:uiPriority w:val="99"/>
    <w:semiHidden/>
    <w:rsid w:val="00AE03D2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a2"/>
    <w:semiHidden/>
    <w:unhideWhenUsed/>
    <w:rsid w:val="00AE03D2"/>
    <w:rPr>
      <w:rFonts w:ascii="Tahoma" w:hAnsi="Tahoma" w:cs="Tahoma"/>
      <w:sz w:val="16"/>
      <w:szCs w:val="16"/>
    </w:rPr>
  </w:style>
  <w:style w:type="character" w:customStyle="1" w:styleId="a2">
    <w:name w:val="Текст выноски Знак"/>
    <w:basedOn w:val="DefaultParagraphFont"/>
    <w:link w:val="BalloonText"/>
    <w:semiHidden/>
    <w:rsid w:val="00AE03D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TableNormal"/>
    <w:next w:val="TableGrid"/>
    <w:uiPriority w:val="59"/>
    <w:rsid w:val="00F3380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Normal"/>
    <w:rsid w:val="001C0A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B4E58-B409-4377-8B27-9588CB73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ООЗ товары единое.dotx</Template>
  <TotalTime>1504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ohtyarov</dc:creator>
  <cp:lastModifiedBy>Евгений</cp:lastModifiedBy>
  <cp:revision>124</cp:revision>
  <dcterms:created xsi:type="dcterms:W3CDTF">2015-02-04T11:52:00Z</dcterms:created>
  <dcterms:modified xsi:type="dcterms:W3CDTF">2024-05-06T11:12:00Z</dcterms:modified>
</cp:coreProperties>
</file>